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44" w:rsidRDefault="00584C44" w:rsidP="00527791">
      <w:pPr>
        <w:shd w:val="clear" w:color="auto" w:fill="FFFFFF"/>
        <w:spacing w:after="360" w:line="240" w:lineRule="auto"/>
        <w:jc w:val="center"/>
        <w:outlineLvl w:val="0"/>
        <w:rPr>
          <w:rFonts w:ascii="Bookman Old Style" w:eastAsia="Times New Roman" w:hAnsi="Bookman Old Style" w:cs="Times New Roman"/>
          <w:b/>
          <w:bCs/>
          <w:color w:val="auto"/>
          <w:kern w:val="36"/>
          <w:sz w:val="28"/>
          <w:szCs w:val="28"/>
        </w:rPr>
      </w:pPr>
    </w:p>
    <w:p w:rsidR="00527791" w:rsidRPr="00527791" w:rsidRDefault="00527791" w:rsidP="00527791">
      <w:pPr>
        <w:shd w:val="clear" w:color="auto" w:fill="FFFFFF"/>
        <w:spacing w:after="360" w:line="240" w:lineRule="auto"/>
        <w:jc w:val="center"/>
        <w:outlineLvl w:val="0"/>
        <w:rPr>
          <w:rFonts w:ascii="Bookman Old Style" w:eastAsia="Times New Roman" w:hAnsi="Bookman Old Style" w:cs="Times New Roman"/>
          <w:b/>
          <w:bCs/>
          <w:color w:val="auto"/>
          <w:kern w:val="36"/>
          <w:sz w:val="28"/>
          <w:szCs w:val="28"/>
        </w:rPr>
      </w:pPr>
      <w:r w:rsidRPr="00527791">
        <w:rPr>
          <w:rFonts w:ascii="Bookman Old Style" w:eastAsia="Times New Roman" w:hAnsi="Bookman Old Style" w:cs="Times New Roman"/>
          <w:b/>
          <w:bCs/>
          <w:color w:val="auto"/>
          <w:kern w:val="36"/>
          <w:sz w:val="28"/>
          <w:szCs w:val="28"/>
        </w:rPr>
        <w:t>SOME UPDATES</w:t>
      </w:r>
    </w:p>
    <w:p w:rsidR="00527791" w:rsidRPr="00527791" w:rsidRDefault="00527791" w:rsidP="00527791">
      <w:pPr>
        <w:shd w:val="clear" w:color="auto" w:fill="FFFFFF"/>
        <w:spacing w:after="360" w:line="240" w:lineRule="auto"/>
        <w:jc w:val="both"/>
        <w:outlineLvl w:val="0"/>
        <w:rPr>
          <w:rFonts w:ascii="Bookman Old Style" w:eastAsia="Times New Roman" w:hAnsi="Bookman Old Style" w:cs="Times New Roman"/>
          <w:b/>
          <w:bCs/>
          <w:color w:val="auto"/>
          <w:kern w:val="36"/>
          <w:u w:val="single"/>
        </w:rPr>
      </w:pPr>
      <w:r w:rsidRPr="00527791">
        <w:rPr>
          <w:rFonts w:ascii="Bookman Old Style" w:eastAsia="Times New Roman" w:hAnsi="Bookman Old Style" w:cs="Times New Roman"/>
          <w:b/>
          <w:bCs/>
          <w:color w:val="auto"/>
          <w:kern w:val="36"/>
          <w:u w:val="single"/>
        </w:rPr>
        <w:t>EARNEST MONEY CAN BE FORFEITED ON NON-PERFORMANCE IF IT WAS GIVEN BY WAY OF PERFORMANCE GUARANTEE</w:t>
      </w:r>
    </w:p>
    <w:p w:rsidR="00527791" w:rsidRPr="00527791" w:rsidRDefault="00527791" w:rsidP="00527791">
      <w:pPr>
        <w:shd w:val="clear" w:color="auto" w:fill="FFFFFF"/>
        <w:spacing w:after="300" w:line="240" w:lineRule="atLeast"/>
        <w:jc w:val="both"/>
        <w:rPr>
          <w:rFonts w:ascii="Bookman Old Style" w:eastAsia="Times New Roman" w:hAnsi="Bookman Old Style" w:cs="Times New Roman"/>
          <w:color w:val="auto"/>
        </w:rPr>
      </w:pPr>
      <w:r w:rsidRPr="00527791">
        <w:rPr>
          <w:rFonts w:ascii="Bookman Old Style" w:eastAsia="Times New Roman" w:hAnsi="Bookman Old Style" w:cs="Times New Roman"/>
          <w:color w:val="auto"/>
        </w:rPr>
        <w:t xml:space="preserve">Whether the amount deposited with the seller of a property is earnest money capable of being forfeited in the case of non-performance by the </w:t>
      </w:r>
      <w:proofErr w:type="gramStart"/>
      <w:r w:rsidRPr="00527791">
        <w:rPr>
          <w:rFonts w:ascii="Bookman Old Style" w:eastAsia="Times New Roman" w:hAnsi="Bookman Old Style" w:cs="Times New Roman"/>
          <w:color w:val="auto"/>
        </w:rPr>
        <w:t>buyer,</w:t>
      </w:r>
      <w:proofErr w:type="gramEnd"/>
      <w:r w:rsidRPr="00527791">
        <w:rPr>
          <w:rFonts w:ascii="Bookman Old Style" w:eastAsia="Times New Roman" w:hAnsi="Bookman Old Style" w:cs="Times New Roman"/>
          <w:color w:val="auto"/>
        </w:rPr>
        <w:t xml:space="preserve"> would depend upon the language of the contract. If the contract says explicitly that the deposit made is contemplated to be a performance guarantee and no less, it can be forfeited by the seller in the event of non-performance by the buyer.</w:t>
      </w:r>
    </w:p>
    <w:p w:rsidR="00527791" w:rsidRPr="00527791" w:rsidRDefault="00527791" w:rsidP="00527791">
      <w:pPr>
        <w:shd w:val="clear" w:color="auto" w:fill="FFFFFF"/>
        <w:spacing w:after="300" w:line="240" w:lineRule="atLeast"/>
        <w:jc w:val="both"/>
        <w:rPr>
          <w:rFonts w:ascii="Bookman Old Style" w:eastAsia="Times New Roman" w:hAnsi="Bookman Old Style" w:cs="Times New Roman"/>
          <w:color w:val="auto"/>
        </w:rPr>
      </w:pPr>
      <w:r w:rsidRPr="00527791">
        <w:rPr>
          <w:rFonts w:ascii="Bookman Old Style" w:eastAsia="Times New Roman" w:hAnsi="Bookman Old Style" w:cs="Times New Roman"/>
          <w:color w:val="auto"/>
        </w:rPr>
        <w:t xml:space="preserve">The Supreme Court in </w:t>
      </w:r>
      <w:proofErr w:type="spellStart"/>
      <w:r w:rsidRPr="00527791">
        <w:rPr>
          <w:rFonts w:ascii="Bookman Old Style" w:eastAsia="Times New Roman" w:hAnsi="Bookman Old Style" w:cs="Times New Roman"/>
          <w:color w:val="auto"/>
        </w:rPr>
        <w:t>Satish</w:t>
      </w:r>
      <w:proofErr w:type="spellEnd"/>
      <w:r w:rsidRPr="00527791">
        <w:rPr>
          <w:rFonts w:ascii="Bookman Old Style" w:eastAsia="Times New Roman" w:hAnsi="Bookman Old Style" w:cs="Times New Roman"/>
          <w:color w:val="auto"/>
        </w:rPr>
        <w:t xml:space="preserve"> </w:t>
      </w:r>
      <w:proofErr w:type="spellStart"/>
      <w:r w:rsidRPr="00527791">
        <w:rPr>
          <w:rFonts w:ascii="Bookman Old Style" w:eastAsia="Times New Roman" w:hAnsi="Bookman Old Style" w:cs="Times New Roman"/>
          <w:color w:val="auto"/>
        </w:rPr>
        <w:t>Batra</w:t>
      </w:r>
      <w:proofErr w:type="spellEnd"/>
      <w:r w:rsidRPr="00527791">
        <w:rPr>
          <w:rFonts w:ascii="Bookman Old Style" w:eastAsia="Times New Roman" w:hAnsi="Bookman Old Style" w:cs="Times New Roman"/>
          <w:color w:val="auto"/>
        </w:rPr>
        <w:t xml:space="preserve"> v. </w:t>
      </w:r>
      <w:proofErr w:type="spellStart"/>
      <w:r w:rsidRPr="00527791">
        <w:rPr>
          <w:rFonts w:ascii="Bookman Old Style" w:eastAsia="Times New Roman" w:hAnsi="Bookman Old Style" w:cs="Times New Roman"/>
          <w:color w:val="auto"/>
        </w:rPr>
        <w:t>Sudhir</w:t>
      </w:r>
      <w:proofErr w:type="spellEnd"/>
      <w:r w:rsidRPr="00527791">
        <w:rPr>
          <w:rFonts w:ascii="Bookman Old Style" w:eastAsia="Times New Roman" w:hAnsi="Bookman Old Style" w:cs="Times New Roman"/>
          <w:color w:val="auto"/>
        </w:rPr>
        <w:t xml:space="preserve"> </w:t>
      </w:r>
      <w:proofErr w:type="spellStart"/>
      <w:r w:rsidRPr="00527791">
        <w:rPr>
          <w:rFonts w:ascii="Bookman Old Style" w:eastAsia="Times New Roman" w:hAnsi="Bookman Old Style" w:cs="Times New Roman"/>
          <w:color w:val="auto"/>
        </w:rPr>
        <w:t>Rawal</w:t>
      </w:r>
      <w:proofErr w:type="spellEnd"/>
      <w:r w:rsidRPr="00527791">
        <w:rPr>
          <w:rFonts w:ascii="Bookman Old Style" w:eastAsia="Times New Roman" w:hAnsi="Bookman Old Style" w:cs="Times New Roman"/>
          <w:color w:val="auto"/>
        </w:rPr>
        <w:t xml:space="preserve"> laid down the following ingredients which must be present in the contract so as to enable the seller to forfeit the deposit.</w:t>
      </w:r>
    </w:p>
    <w:p w:rsidR="00527791" w:rsidRPr="00527791" w:rsidRDefault="00527791" w:rsidP="00527791">
      <w:pPr>
        <w:shd w:val="clear" w:color="auto" w:fill="FFFFFF"/>
        <w:spacing w:after="300" w:line="240" w:lineRule="atLeast"/>
        <w:jc w:val="both"/>
        <w:rPr>
          <w:rFonts w:ascii="Bookman Old Style" w:eastAsia="Times New Roman" w:hAnsi="Bookman Old Style" w:cs="Times New Roman"/>
          <w:color w:val="auto"/>
        </w:rPr>
      </w:pPr>
      <w:r w:rsidRPr="00527791">
        <w:rPr>
          <w:rFonts w:ascii="Bookman Old Style" w:eastAsia="Times New Roman" w:hAnsi="Bookman Old Style" w:cs="Times New Roman"/>
          <w:color w:val="auto"/>
        </w:rPr>
        <w:t>(1) It must be given at the moment at which the contract is concluded.</w:t>
      </w:r>
    </w:p>
    <w:p w:rsidR="00527791" w:rsidRPr="00527791" w:rsidRDefault="00527791" w:rsidP="00527791">
      <w:pPr>
        <w:shd w:val="clear" w:color="auto" w:fill="FFFFFF"/>
        <w:spacing w:after="300" w:line="240" w:lineRule="atLeast"/>
        <w:jc w:val="both"/>
        <w:rPr>
          <w:rFonts w:ascii="Bookman Old Style" w:eastAsia="Times New Roman" w:hAnsi="Bookman Old Style" w:cs="Times New Roman"/>
          <w:color w:val="auto"/>
        </w:rPr>
      </w:pPr>
      <w:r w:rsidRPr="00527791">
        <w:rPr>
          <w:rFonts w:ascii="Bookman Old Style" w:eastAsia="Times New Roman" w:hAnsi="Bookman Old Style" w:cs="Times New Roman"/>
          <w:color w:val="auto"/>
        </w:rPr>
        <w:t>(2) It represents a guarantee that the contract will be fulfilled or, in other words, “earnest” is given to bind the contract.</w:t>
      </w:r>
    </w:p>
    <w:p w:rsidR="00527791" w:rsidRPr="00527791" w:rsidRDefault="00527791" w:rsidP="00527791">
      <w:pPr>
        <w:shd w:val="clear" w:color="auto" w:fill="FFFFFF"/>
        <w:spacing w:after="300" w:line="240" w:lineRule="atLeast"/>
        <w:jc w:val="both"/>
        <w:rPr>
          <w:rFonts w:ascii="Bookman Old Style" w:eastAsia="Times New Roman" w:hAnsi="Bookman Old Style" w:cs="Times New Roman"/>
          <w:color w:val="auto"/>
        </w:rPr>
      </w:pPr>
      <w:r w:rsidRPr="00527791">
        <w:rPr>
          <w:rFonts w:ascii="Bookman Old Style" w:eastAsia="Times New Roman" w:hAnsi="Bookman Old Style" w:cs="Times New Roman"/>
          <w:color w:val="auto"/>
        </w:rPr>
        <w:t>(3) It is part of the purchase price when the transaction is carried out.</w:t>
      </w:r>
    </w:p>
    <w:p w:rsidR="00527791" w:rsidRPr="00527791" w:rsidRDefault="00527791" w:rsidP="00527791">
      <w:pPr>
        <w:shd w:val="clear" w:color="auto" w:fill="FFFFFF"/>
        <w:spacing w:after="300" w:line="240" w:lineRule="atLeast"/>
        <w:jc w:val="both"/>
        <w:rPr>
          <w:rFonts w:ascii="Bookman Old Style" w:eastAsia="Times New Roman" w:hAnsi="Bookman Old Style" w:cs="Times New Roman"/>
          <w:color w:val="auto"/>
        </w:rPr>
      </w:pPr>
      <w:r w:rsidRPr="00527791">
        <w:rPr>
          <w:rFonts w:ascii="Bookman Old Style" w:eastAsia="Times New Roman" w:hAnsi="Bookman Old Style" w:cs="Times New Roman"/>
          <w:color w:val="auto"/>
        </w:rPr>
        <w:t>(4) It is forfeited when the transaction falls through by reason of the default or failure of the purchaser.</w:t>
      </w:r>
    </w:p>
    <w:p w:rsidR="00527791" w:rsidRPr="00527791" w:rsidRDefault="00527791" w:rsidP="00527791">
      <w:pPr>
        <w:shd w:val="clear" w:color="auto" w:fill="FFFFFF"/>
        <w:spacing w:after="300" w:line="240" w:lineRule="atLeast"/>
        <w:jc w:val="both"/>
        <w:rPr>
          <w:rFonts w:ascii="Bookman Old Style" w:eastAsia="Times New Roman" w:hAnsi="Bookman Old Style" w:cs="Times New Roman"/>
          <w:color w:val="auto"/>
        </w:rPr>
      </w:pPr>
      <w:r w:rsidRPr="00527791">
        <w:rPr>
          <w:rFonts w:ascii="Bookman Old Style" w:eastAsia="Times New Roman" w:hAnsi="Bookman Old Style" w:cs="Times New Roman"/>
          <w:color w:val="auto"/>
        </w:rPr>
        <w:t>(5) Unless there is anything to the contrary in the terms of the contract, on default committed by the buyer, the seller is entitled to forfeit the earnest.</w:t>
      </w:r>
    </w:p>
    <w:p w:rsidR="00527791" w:rsidRPr="00527791" w:rsidRDefault="00527791" w:rsidP="00527791">
      <w:pPr>
        <w:shd w:val="clear" w:color="auto" w:fill="FFFFFF"/>
        <w:spacing w:after="300" w:line="240" w:lineRule="atLeast"/>
        <w:jc w:val="both"/>
        <w:rPr>
          <w:rFonts w:ascii="Bookman Old Style" w:eastAsia="Times New Roman" w:hAnsi="Bookman Old Style" w:cs="Times New Roman"/>
          <w:color w:val="auto"/>
        </w:rPr>
      </w:pPr>
      <w:r w:rsidRPr="00527791">
        <w:rPr>
          <w:rFonts w:ascii="Bookman Old Style" w:eastAsia="Times New Roman" w:hAnsi="Bookman Old Style" w:cs="Times New Roman"/>
          <w:color w:val="auto"/>
        </w:rPr>
        <w:t xml:space="preserve">In the case on hand, the petitioner seller had entered into a sale agreement with the respondent to sell a property for Rs 70 </w:t>
      </w:r>
      <w:proofErr w:type="spellStart"/>
      <w:r w:rsidRPr="00527791">
        <w:rPr>
          <w:rFonts w:ascii="Bookman Old Style" w:eastAsia="Times New Roman" w:hAnsi="Bookman Old Style" w:cs="Times New Roman"/>
          <w:color w:val="auto"/>
        </w:rPr>
        <w:t>lakh</w:t>
      </w:r>
      <w:proofErr w:type="spellEnd"/>
      <w:r w:rsidRPr="00527791">
        <w:rPr>
          <w:rFonts w:ascii="Bookman Old Style" w:eastAsia="Times New Roman" w:hAnsi="Bookman Old Style" w:cs="Times New Roman"/>
          <w:color w:val="auto"/>
        </w:rPr>
        <w:t xml:space="preserve"> with the buyer making a deposit of Rs 7 </w:t>
      </w:r>
      <w:proofErr w:type="spellStart"/>
      <w:r w:rsidRPr="00527791">
        <w:rPr>
          <w:rFonts w:ascii="Bookman Old Style" w:eastAsia="Times New Roman" w:hAnsi="Bookman Old Style" w:cs="Times New Roman"/>
          <w:color w:val="auto"/>
        </w:rPr>
        <w:t>lakh</w:t>
      </w:r>
      <w:proofErr w:type="spellEnd"/>
      <w:r w:rsidRPr="00527791">
        <w:rPr>
          <w:rFonts w:ascii="Bookman Old Style" w:eastAsia="Times New Roman" w:hAnsi="Bookman Old Style" w:cs="Times New Roman"/>
          <w:color w:val="auto"/>
        </w:rPr>
        <w:t xml:space="preserve"> liable to be forfeited if he does not keep his part of the promise. On the flip side, it was also agreed that the seller would pay double this amount i.e. Rs 14 </w:t>
      </w:r>
      <w:proofErr w:type="spellStart"/>
      <w:r w:rsidRPr="00527791">
        <w:rPr>
          <w:rFonts w:ascii="Bookman Old Style" w:eastAsia="Times New Roman" w:hAnsi="Bookman Old Style" w:cs="Times New Roman"/>
          <w:color w:val="auto"/>
        </w:rPr>
        <w:t>lakh</w:t>
      </w:r>
      <w:proofErr w:type="spellEnd"/>
      <w:r w:rsidRPr="00527791">
        <w:rPr>
          <w:rFonts w:ascii="Bookman Old Style" w:eastAsia="Times New Roman" w:hAnsi="Bookman Old Style" w:cs="Times New Roman"/>
          <w:color w:val="auto"/>
        </w:rPr>
        <w:t xml:space="preserve"> to the buyer in case he defaults. On the facts of the case the Supreme Court had no hesitation in overturning the Delhi High Court verdict and instead upholding the claim of the petitioner to forfeit Rs 7 </w:t>
      </w:r>
      <w:proofErr w:type="spellStart"/>
      <w:r w:rsidRPr="00527791">
        <w:rPr>
          <w:rFonts w:ascii="Bookman Old Style" w:eastAsia="Times New Roman" w:hAnsi="Bookman Old Style" w:cs="Times New Roman"/>
          <w:color w:val="auto"/>
        </w:rPr>
        <w:t>lakh</w:t>
      </w:r>
      <w:proofErr w:type="spellEnd"/>
      <w:r w:rsidRPr="00527791">
        <w:rPr>
          <w:rFonts w:ascii="Bookman Old Style" w:eastAsia="Times New Roman" w:hAnsi="Bookman Old Style" w:cs="Times New Roman"/>
          <w:color w:val="auto"/>
        </w:rPr>
        <w:t xml:space="preserve"> deposited with him as earnest money.</w:t>
      </w:r>
    </w:p>
    <w:p w:rsidR="00527791" w:rsidRDefault="00527791" w:rsidP="00527791">
      <w:pPr>
        <w:shd w:val="clear" w:color="auto" w:fill="FFFFFF"/>
        <w:spacing w:after="360" w:line="240" w:lineRule="auto"/>
        <w:jc w:val="both"/>
        <w:outlineLvl w:val="0"/>
        <w:rPr>
          <w:rFonts w:ascii="Bookman Old Style" w:eastAsia="Times New Roman" w:hAnsi="Bookman Old Style" w:cs="Times New Roman"/>
          <w:b/>
          <w:bCs/>
          <w:color w:val="auto"/>
          <w:kern w:val="36"/>
          <w:u w:val="single"/>
        </w:rPr>
      </w:pPr>
    </w:p>
    <w:p w:rsidR="00527791" w:rsidRDefault="00527791" w:rsidP="00527791">
      <w:pPr>
        <w:shd w:val="clear" w:color="auto" w:fill="FFFFFF"/>
        <w:spacing w:after="360" w:line="240" w:lineRule="auto"/>
        <w:jc w:val="both"/>
        <w:outlineLvl w:val="0"/>
        <w:rPr>
          <w:rFonts w:ascii="Bookman Old Style" w:eastAsia="Times New Roman" w:hAnsi="Bookman Old Style" w:cs="Times New Roman"/>
          <w:b/>
          <w:bCs/>
          <w:color w:val="auto"/>
          <w:kern w:val="36"/>
          <w:u w:val="single"/>
        </w:rPr>
      </w:pPr>
    </w:p>
    <w:p w:rsidR="00527791" w:rsidRDefault="00527791" w:rsidP="00527791">
      <w:pPr>
        <w:shd w:val="clear" w:color="auto" w:fill="FFFFFF"/>
        <w:spacing w:after="360" w:line="240" w:lineRule="auto"/>
        <w:jc w:val="both"/>
        <w:outlineLvl w:val="0"/>
        <w:rPr>
          <w:rFonts w:ascii="Bookman Old Style" w:eastAsia="Times New Roman" w:hAnsi="Bookman Old Style" w:cs="Times New Roman"/>
          <w:b/>
          <w:bCs/>
          <w:color w:val="auto"/>
          <w:kern w:val="36"/>
          <w:u w:val="single"/>
        </w:rPr>
      </w:pPr>
    </w:p>
    <w:p w:rsidR="00527791" w:rsidRDefault="00527791" w:rsidP="00527791">
      <w:pPr>
        <w:shd w:val="clear" w:color="auto" w:fill="FFFFFF"/>
        <w:spacing w:after="360" w:line="240" w:lineRule="auto"/>
        <w:jc w:val="both"/>
        <w:outlineLvl w:val="0"/>
        <w:rPr>
          <w:rFonts w:ascii="Bookman Old Style" w:eastAsia="Times New Roman" w:hAnsi="Bookman Old Style" w:cs="Times New Roman"/>
          <w:b/>
          <w:bCs/>
          <w:color w:val="auto"/>
          <w:kern w:val="36"/>
          <w:u w:val="single"/>
        </w:rPr>
      </w:pPr>
    </w:p>
    <w:p w:rsidR="00527791" w:rsidRDefault="00527791" w:rsidP="00527791">
      <w:pPr>
        <w:shd w:val="clear" w:color="auto" w:fill="FFFFFF"/>
        <w:spacing w:after="360" w:line="240" w:lineRule="auto"/>
        <w:jc w:val="both"/>
        <w:outlineLvl w:val="0"/>
        <w:rPr>
          <w:rFonts w:ascii="Bookman Old Style" w:eastAsia="Times New Roman" w:hAnsi="Bookman Old Style" w:cs="Times New Roman"/>
          <w:b/>
          <w:bCs/>
          <w:color w:val="auto"/>
          <w:kern w:val="36"/>
          <w:u w:val="single"/>
        </w:rPr>
      </w:pPr>
    </w:p>
    <w:p w:rsidR="00527791" w:rsidRPr="00527791" w:rsidRDefault="00527791" w:rsidP="00527791">
      <w:pPr>
        <w:shd w:val="clear" w:color="auto" w:fill="FFFFFF"/>
        <w:spacing w:after="360" w:line="240" w:lineRule="auto"/>
        <w:jc w:val="both"/>
        <w:outlineLvl w:val="0"/>
        <w:rPr>
          <w:rFonts w:ascii="Bookman Old Style" w:eastAsia="Times New Roman" w:hAnsi="Bookman Old Style" w:cs="Times New Roman"/>
          <w:b/>
          <w:bCs/>
          <w:color w:val="auto"/>
          <w:kern w:val="36"/>
          <w:u w:val="single"/>
        </w:rPr>
      </w:pPr>
      <w:r w:rsidRPr="00527791">
        <w:rPr>
          <w:rFonts w:ascii="Bookman Old Style" w:eastAsia="Times New Roman" w:hAnsi="Bookman Old Style" w:cs="Times New Roman"/>
          <w:b/>
          <w:bCs/>
          <w:color w:val="auto"/>
          <w:kern w:val="36"/>
          <w:u w:val="single"/>
        </w:rPr>
        <w:t>LOOSE-SHEET ENTRY CANNOT BE THE BASIS FOR T</w:t>
      </w:r>
      <w:r>
        <w:rPr>
          <w:rFonts w:ascii="Bookman Old Style" w:eastAsia="Times New Roman" w:hAnsi="Bookman Old Style" w:cs="Times New Roman"/>
          <w:b/>
          <w:bCs/>
          <w:color w:val="auto"/>
          <w:kern w:val="36"/>
          <w:u w:val="single"/>
        </w:rPr>
        <w:t>AXING AS UNEXPLAINED INVESTMENT</w:t>
      </w:r>
    </w:p>
    <w:p w:rsidR="00527791" w:rsidRPr="00527791" w:rsidRDefault="00527791" w:rsidP="00527791">
      <w:pPr>
        <w:shd w:val="clear" w:color="auto" w:fill="FFFFFF"/>
        <w:spacing w:after="300" w:line="240" w:lineRule="atLeast"/>
        <w:jc w:val="both"/>
        <w:rPr>
          <w:rFonts w:ascii="Bookman Old Style" w:eastAsia="Times New Roman" w:hAnsi="Bookman Old Style" w:cs="Times New Roman"/>
          <w:color w:val="auto"/>
        </w:rPr>
      </w:pPr>
      <w:r w:rsidRPr="00527791">
        <w:rPr>
          <w:rFonts w:ascii="Bookman Old Style" w:eastAsia="Times New Roman" w:hAnsi="Bookman Old Style" w:cs="Times New Roman"/>
          <w:color w:val="auto"/>
        </w:rPr>
        <w:t xml:space="preserve">When in the course of search, loose documents, not being part of returns or accounts are found, the entries found therein cannot be the basis for taxing the amount as unexplained investment emanating from an undisclosed income. In CIT v. Ranchi Medical Research &amp; Development Foundation (P) Ltd, the Jharkhand High Court found that the assessing officer had based his presumption of unexplained investment of Rs 36 </w:t>
      </w:r>
      <w:proofErr w:type="spellStart"/>
      <w:r w:rsidRPr="00527791">
        <w:rPr>
          <w:rFonts w:ascii="Bookman Old Style" w:eastAsia="Times New Roman" w:hAnsi="Bookman Old Style" w:cs="Times New Roman"/>
          <w:color w:val="auto"/>
        </w:rPr>
        <w:t>lakh</w:t>
      </w:r>
      <w:proofErr w:type="spellEnd"/>
      <w:r w:rsidRPr="00527791">
        <w:rPr>
          <w:rFonts w:ascii="Bookman Old Style" w:eastAsia="Times New Roman" w:hAnsi="Bookman Old Style" w:cs="Times New Roman"/>
          <w:color w:val="auto"/>
        </w:rPr>
        <w:t xml:space="preserve"> from noting in a loose-sheet found in the course of search. What aroused his suspicion was against this </w:t>
      </w:r>
      <w:proofErr w:type="gramStart"/>
      <w:r w:rsidRPr="00527791">
        <w:rPr>
          <w:rFonts w:ascii="Bookman Old Style" w:eastAsia="Times New Roman" w:hAnsi="Bookman Old Style" w:cs="Times New Roman"/>
          <w:color w:val="auto"/>
        </w:rPr>
        <w:t>payment,</w:t>
      </w:r>
      <w:proofErr w:type="gramEnd"/>
      <w:r w:rsidRPr="00527791">
        <w:rPr>
          <w:rFonts w:ascii="Bookman Old Style" w:eastAsia="Times New Roman" w:hAnsi="Bookman Old Style" w:cs="Times New Roman"/>
          <w:color w:val="auto"/>
        </w:rPr>
        <w:t xml:space="preserve"> the name of one </w:t>
      </w:r>
      <w:proofErr w:type="spellStart"/>
      <w:r w:rsidRPr="00527791">
        <w:rPr>
          <w:rFonts w:ascii="Bookman Old Style" w:eastAsia="Times New Roman" w:hAnsi="Bookman Old Style" w:cs="Times New Roman"/>
          <w:color w:val="auto"/>
        </w:rPr>
        <w:t>Mithlesh</w:t>
      </w:r>
      <w:proofErr w:type="spellEnd"/>
      <w:r w:rsidRPr="00527791">
        <w:rPr>
          <w:rFonts w:ascii="Bookman Old Style" w:eastAsia="Times New Roman" w:hAnsi="Bookman Old Style" w:cs="Times New Roman"/>
          <w:color w:val="auto"/>
        </w:rPr>
        <w:t xml:space="preserve"> Singh was mentioned. Accordingly, he went on to conclude that this must represent a transaction of purchase of immovable property from </w:t>
      </w:r>
      <w:proofErr w:type="spellStart"/>
      <w:r w:rsidRPr="00527791">
        <w:rPr>
          <w:rFonts w:ascii="Bookman Old Style" w:eastAsia="Times New Roman" w:hAnsi="Bookman Old Style" w:cs="Times New Roman"/>
          <w:color w:val="auto"/>
        </w:rPr>
        <w:t>Mithlesh</w:t>
      </w:r>
      <w:proofErr w:type="spellEnd"/>
      <w:r w:rsidRPr="00527791">
        <w:rPr>
          <w:rFonts w:ascii="Bookman Old Style" w:eastAsia="Times New Roman" w:hAnsi="Bookman Old Style" w:cs="Times New Roman"/>
          <w:color w:val="auto"/>
        </w:rPr>
        <w:t xml:space="preserve"> Singh.</w:t>
      </w:r>
    </w:p>
    <w:p w:rsidR="00527791" w:rsidRPr="00527791" w:rsidRDefault="00527791" w:rsidP="00527791">
      <w:pPr>
        <w:shd w:val="clear" w:color="auto" w:fill="FFFFFF"/>
        <w:spacing w:after="300" w:line="240" w:lineRule="atLeast"/>
        <w:jc w:val="both"/>
        <w:rPr>
          <w:rFonts w:ascii="Bookman Old Style" w:eastAsia="Times New Roman" w:hAnsi="Bookman Old Style" w:cs="Times New Roman"/>
          <w:color w:val="auto"/>
        </w:rPr>
      </w:pPr>
      <w:r w:rsidRPr="00527791">
        <w:rPr>
          <w:rFonts w:ascii="Bookman Old Style" w:eastAsia="Times New Roman" w:hAnsi="Bookman Old Style" w:cs="Times New Roman"/>
          <w:color w:val="auto"/>
        </w:rPr>
        <w:t>The High Court agreed with the Respondent that nothing turned on this entry alone without further corroborative evidence as to purchase of immovable property from out of undisclosed income. The Respondent gave the explanation that the entry in the loose sheet in fact represented the need for arrangement of margin money payable to bank for loan for purchase of diagnostic equipments from Siemens Ltd.</w:t>
      </w:r>
    </w:p>
    <w:p w:rsidR="00584C44" w:rsidRDefault="00584C44" w:rsidP="00527791">
      <w:pPr>
        <w:pStyle w:val="Heading1"/>
        <w:shd w:val="clear" w:color="auto" w:fill="FFFFFF"/>
        <w:spacing w:before="0" w:beforeAutospacing="0" w:after="360" w:afterAutospacing="0"/>
        <w:jc w:val="both"/>
        <w:rPr>
          <w:rFonts w:ascii="Bookman Old Style" w:hAnsi="Bookman Old Style"/>
          <w:sz w:val="22"/>
          <w:szCs w:val="22"/>
          <w:u w:val="single"/>
        </w:rPr>
      </w:pPr>
    </w:p>
    <w:p w:rsidR="00527791" w:rsidRPr="00527791" w:rsidRDefault="00527791" w:rsidP="00527791">
      <w:pPr>
        <w:pStyle w:val="Heading1"/>
        <w:shd w:val="clear" w:color="auto" w:fill="FFFFFF"/>
        <w:spacing w:before="0" w:beforeAutospacing="0" w:after="360" w:afterAutospacing="0"/>
        <w:jc w:val="both"/>
        <w:rPr>
          <w:rFonts w:ascii="Bookman Old Style" w:hAnsi="Bookman Old Style"/>
          <w:sz w:val="22"/>
          <w:szCs w:val="22"/>
          <w:u w:val="single"/>
        </w:rPr>
      </w:pPr>
      <w:r w:rsidRPr="00527791">
        <w:rPr>
          <w:rFonts w:ascii="Bookman Old Style" w:hAnsi="Bookman Old Style"/>
          <w:sz w:val="22"/>
          <w:szCs w:val="22"/>
          <w:u w:val="single"/>
        </w:rPr>
        <w:t>LAW OF LIMITATION WILL NOT APPLY WHEN COURT DECREES AN AMOUNT AS DEBT</w:t>
      </w:r>
    </w:p>
    <w:p w:rsidR="00527791" w:rsidRPr="00527791" w:rsidRDefault="00527791" w:rsidP="00527791">
      <w:pPr>
        <w:pStyle w:val="body"/>
        <w:shd w:val="clear" w:color="auto" w:fill="FFFFFF"/>
        <w:spacing w:before="0" w:beforeAutospacing="0" w:after="300" w:afterAutospacing="0" w:line="240" w:lineRule="atLeast"/>
        <w:jc w:val="both"/>
        <w:rPr>
          <w:rFonts w:ascii="Bookman Old Style" w:hAnsi="Bookman Old Style"/>
          <w:sz w:val="22"/>
          <w:szCs w:val="22"/>
        </w:rPr>
      </w:pPr>
      <w:r w:rsidRPr="00527791">
        <w:rPr>
          <w:rFonts w:ascii="Bookman Old Style" w:hAnsi="Bookman Old Style"/>
          <w:sz w:val="22"/>
          <w:szCs w:val="22"/>
        </w:rPr>
        <w:t xml:space="preserve">When bank guarantees are enforced and the bank pays up, the amount thus payable to the bank becomes a debt to which the law of limitation applies. But when the firm disputes the amount payable to the bank and such dispute is finally resolved in </w:t>
      </w:r>
      <w:proofErr w:type="spellStart"/>
      <w:r w:rsidRPr="00527791">
        <w:rPr>
          <w:rFonts w:ascii="Bookman Old Style" w:hAnsi="Bookman Old Style"/>
          <w:sz w:val="22"/>
          <w:szCs w:val="22"/>
        </w:rPr>
        <w:t>favour</w:t>
      </w:r>
      <w:proofErr w:type="spellEnd"/>
      <w:r w:rsidRPr="00527791">
        <w:rPr>
          <w:rFonts w:ascii="Bookman Old Style" w:hAnsi="Bookman Old Style"/>
          <w:sz w:val="22"/>
          <w:szCs w:val="22"/>
        </w:rPr>
        <w:t xml:space="preserve"> of the bank, the amount payable not only becomes a debt but in addition is not subject to the law of limitation.</w:t>
      </w:r>
    </w:p>
    <w:p w:rsidR="00527791" w:rsidRPr="00527791" w:rsidRDefault="00527791" w:rsidP="00527791">
      <w:pPr>
        <w:pStyle w:val="Heading3"/>
        <w:shd w:val="clear" w:color="auto" w:fill="FFFFFF"/>
        <w:spacing w:before="0" w:after="120"/>
        <w:jc w:val="both"/>
        <w:rPr>
          <w:rFonts w:ascii="Bookman Old Style" w:hAnsi="Bookman Old Style"/>
          <w:b w:val="0"/>
          <w:bCs w:val="0"/>
          <w:caps/>
          <w:color w:val="auto"/>
        </w:rPr>
      </w:pPr>
      <w:r w:rsidRPr="00527791">
        <w:rPr>
          <w:rFonts w:ascii="Bookman Old Style" w:hAnsi="Bookman Old Style"/>
          <w:b w:val="0"/>
          <w:bCs w:val="0"/>
          <w:caps/>
          <w:color w:val="auto"/>
        </w:rPr>
        <w:t>C.S. COMPANY CASE</w:t>
      </w:r>
    </w:p>
    <w:p w:rsidR="00527791" w:rsidRPr="00527791" w:rsidRDefault="00527791" w:rsidP="00527791">
      <w:pPr>
        <w:pStyle w:val="body"/>
        <w:shd w:val="clear" w:color="auto" w:fill="FFFFFF"/>
        <w:spacing w:before="0" w:beforeAutospacing="0" w:after="300" w:afterAutospacing="0" w:line="240" w:lineRule="atLeast"/>
        <w:jc w:val="both"/>
        <w:rPr>
          <w:rFonts w:ascii="Bookman Old Style" w:hAnsi="Bookman Old Style"/>
          <w:sz w:val="22"/>
          <w:szCs w:val="22"/>
        </w:rPr>
      </w:pPr>
      <w:r w:rsidRPr="00527791">
        <w:rPr>
          <w:rFonts w:ascii="Bookman Old Style" w:hAnsi="Bookman Old Style"/>
          <w:sz w:val="22"/>
          <w:szCs w:val="22"/>
        </w:rPr>
        <w:t>This was the verdict of Kerala High Court in</w:t>
      </w:r>
      <w:r w:rsidRPr="00527791">
        <w:rPr>
          <w:rStyle w:val="apple-converted-space"/>
          <w:rFonts w:ascii="Bookman Old Style" w:hAnsi="Bookman Old Style"/>
          <w:sz w:val="22"/>
          <w:szCs w:val="22"/>
        </w:rPr>
        <w:t> </w:t>
      </w:r>
      <w:r w:rsidRPr="00527791">
        <w:rPr>
          <w:rFonts w:ascii="Bookman Old Style" w:hAnsi="Bookman Old Style"/>
          <w:i/>
          <w:iCs/>
          <w:sz w:val="22"/>
          <w:szCs w:val="22"/>
        </w:rPr>
        <w:t xml:space="preserve">C. S. Company </w:t>
      </w:r>
      <w:proofErr w:type="spellStart"/>
      <w:r w:rsidRPr="00527791">
        <w:rPr>
          <w:rFonts w:ascii="Bookman Old Style" w:hAnsi="Bookman Old Style"/>
          <w:i/>
          <w:iCs/>
          <w:sz w:val="22"/>
          <w:szCs w:val="22"/>
        </w:rPr>
        <w:t>vs</w:t>
      </w:r>
      <w:proofErr w:type="spellEnd"/>
      <w:r w:rsidRPr="00527791">
        <w:rPr>
          <w:rFonts w:ascii="Bookman Old Style" w:hAnsi="Bookman Old Style"/>
          <w:i/>
          <w:iCs/>
          <w:sz w:val="22"/>
          <w:szCs w:val="22"/>
        </w:rPr>
        <w:t xml:space="preserve"> Punjab and Sind Bank</w:t>
      </w:r>
      <w:r w:rsidRPr="00527791">
        <w:rPr>
          <w:rFonts w:ascii="Bookman Old Style" w:hAnsi="Bookman Old Style"/>
          <w:sz w:val="22"/>
          <w:szCs w:val="22"/>
        </w:rPr>
        <w:t xml:space="preserve">. The petitioner was a partnership firm at whose request the respondent-bank had furnished two guarantees for Rs 1 </w:t>
      </w:r>
      <w:proofErr w:type="spellStart"/>
      <w:r w:rsidRPr="00527791">
        <w:rPr>
          <w:rFonts w:ascii="Bookman Old Style" w:hAnsi="Bookman Old Style"/>
          <w:sz w:val="22"/>
          <w:szCs w:val="22"/>
        </w:rPr>
        <w:t>lakh</w:t>
      </w:r>
      <w:proofErr w:type="spellEnd"/>
      <w:r w:rsidRPr="00527791">
        <w:rPr>
          <w:rFonts w:ascii="Bookman Old Style" w:hAnsi="Bookman Old Style"/>
          <w:sz w:val="22"/>
          <w:szCs w:val="22"/>
        </w:rPr>
        <w:t xml:space="preserve"> and Rs 19 </w:t>
      </w:r>
      <w:proofErr w:type="spellStart"/>
      <w:r w:rsidRPr="00527791">
        <w:rPr>
          <w:rFonts w:ascii="Bookman Old Style" w:hAnsi="Bookman Old Style"/>
          <w:sz w:val="22"/>
          <w:szCs w:val="22"/>
        </w:rPr>
        <w:t>lakh</w:t>
      </w:r>
      <w:proofErr w:type="spellEnd"/>
      <w:r w:rsidRPr="00527791">
        <w:rPr>
          <w:rFonts w:ascii="Bookman Old Style" w:hAnsi="Bookman Old Style"/>
          <w:sz w:val="22"/>
          <w:szCs w:val="22"/>
        </w:rPr>
        <w:t xml:space="preserve"> in 1983 to Kerala State Electricity Board.</w:t>
      </w:r>
    </w:p>
    <w:p w:rsidR="00527791" w:rsidRPr="00527791" w:rsidRDefault="00527791" w:rsidP="00527791">
      <w:pPr>
        <w:pStyle w:val="body"/>
        <w:shd w:val="clear" w:color="auto" w:fill="FFFFFF"/>
        <w:spacing w:before="0" w:beforeAutospacing="0" w:after="300" w:afterAutospacing="0" w:line="240" w:lineRule="atLeast"/>
        <w:jc w:val="both"/>
        <w:rPr>
          <w:rFonts w:ascii="Bookman Old Style" w:hAnsi="Bookman Old Style"/>
          <w:sz w:val="22"/>
          <w:szCs w:val="22"/>
        </w:rPr>
      </w:pPr>
      <w:r w:rsidRPr="00527791">
        <w:rPr>
          <w:rFonts w:ascii="Bookman Old Style" w:hAnsi="Bookman Old Style"/>
          <w:sz w:val="22"/>
          <w:szCs w:val="22"/>
        </w:rPr>
        <w:t xml:space="preserve">On enforcement of the guarantees by the electricity board, the bank demanded payment of the guarantee amount with interest from the petitioner. The matter got embroiled in litigation with the trial court holding in </w:t>
      </w:r>
      <w:proofErr w:type="spellStart"/>
      <w:r w:rsidRPr="00527791">
        <w:rPr>
          <w:rFonts w:ascii="Bookman Old Style" w:hAnsi="Bookman Old Style"/>
          <w:sz w:val="22"/>
          <w:szCs w:val="22"/>
        </w:rPr>
        <w:t>favour</w:t>
      </w:r>
      <w:proofErr w:type="spellEnd"/>
      <w:r w:rsidRPr="00527791">
        <w:rPr>
          <w:rFonts w:ascii="Bookman Old Style" w:hAnsi="Bookman Old Style"/>
          <w:sz w:val="22"/>
          <w:szCs w:val="22"/>
        </w:rPr>
        <w:t xml:space="preserve"> of the bank, but the High Court reversed the trial court verdict leading to appeal before the Supreme Court which ruled in </w:t>
      </w:r>
      <w:proofErr w:type="spellStart"/>
      <w:r w:rsidRPr="00527791">
        <w:rPr>
          <w:rFonts w:ascii="Bookman Old Style" w:hAnsi="Bookman Old Style"/>
          <w:sz w:val="22"/>
          <w:szCs w:val="22"/>
        </w:rPr>
        <w:t>favour</w:t>
      </w:r>
      <w:proofErr w:type="spellEnd"/>
      <w:r w:rsidRPr="00527791">
        <w:rPr>
          <w:rFonts w:ascii="Bookman Old Style" w:hAnsi="Bookman Old Style"/>
          <w:sz w:val="22"/>
          <w:szCs w:val="22"/>
        </w:rPr>
        <w:t xml:space="preserve"> of the bank.</w:t>
      </w:r>
    </w:p>
    <w:p w:rsidR="00527791" w:rsidRPr="00527791" w:rsidRDefault="00527791" w:rsidP="00527791">
      <w:pPr>
        <w:pStyle w:val="body"/>
        <w:shd w:val="clear" w:color="auto" w:fill="FFFFFF"/>
        <w:spacing w:before="0" w:beforeAutospacing="0" w:after="300" w:afterAutospacing="0" w:line="240" w:lineRule="atLeast"/>
        <w:jc w:val="both"/>
        <w:rPr>
          <w:rFonts w:ascii="Bookman Old Style" w:hAnsi="Bookman Old Style"/>
          <w:sz w:val="22"/>
          <w:szCs w:val="22"/>
        </w:rPr>
      </w:pPr>
      <w:r w:rsidRPr="00527791">
        <w:rPr>
          <w:rFonts w:ascii="Bookman Old Style" w:hAnsi="Bookman Old Style"/>
          <w:sz w:val="22"/>
          <w:szCs w:val="22"/>
        </w:rPr>
        <w:t xml:space="preserve">The firm continued to persist with its delaying tactics and prevarications when the bank sought to read the riot act to it, invoking the </w:t>
      </w:r>
      <w:proofErr w:type="spellStart"/>
      <w:r w:rsidRPr="00527791">
        <w:rPr>
          <w:rFonts w:ascii="Bookman Old Style" w:hAnsi="Bookman Old Style"/>
          <w:sz w:val="22"/>
          <w:szCs w:val="22"/>
        </w:rPr>
        <w:t>Securitisation</w:t>
      </w:r>
      <w:proofErr w:type="spellEnd"/>
      <w:r w:rsidRPr="00527791">
        <w:rPr>
          <w:rFonts w:ascii="Bookman Old Style" w:hAnsi="Bookman Old Style"/>
          <w:sz w:val="22"/>
          <w:szCs w:val="22"/>
        </w:rPr>
        <w:t xml:space="preserve"> Act of 2002 to seize the firm’s properties to </w:t>
      </w:r>
      <w:proofErr w:type="spellStart"/>
      <w:r w:rsidRPr="00527791">
        <w:rPr>
          <w:rFonts w:ascii="Bookman Old Style" w:hAnsi="Bookman Old Style"/>
          <w:sz w:val="22"/>
          <w:szCs w:val="22"/>
        </w:rPr>
        <w:t>realise</w:t>
      </w:r>
      <w:proofErr w:type="spellEnd"/>
      <w:r w:rsidRPr="00527791">
        <w:rPr>
          <w:rFonts w:ascii="Bookman Old Style" w:hAnsi="Bookman Old Style"/>
          <w:sz w:val="22"/>
          <w:szCs w:val="22"/>
        </w:rPr>
        <w:t xml:space="preserve"> its dues.</w:t>
      </w:r>
    </w:p>
    <w:p w:rsidR="00527791" w:rsidRPr="00527791" w:rsidRDefault="00527791" w:rsidP="00527791">
      <w:pPr>
        <w:pStyle w:val="Heading3"/>
        <w:shd w:val="clear" w:color="auto" w:fill="FFFFFF"/>
        <w:spacing w:before="0" w:after="120"/>
        <w:jc w:val="both"/>
        <w:rPr>
          <w:rFonts w:ascii="Bookman Old Style" w:hAnsi="Bookman Old Style"/>
          <w:b w:val="0"/>
          <w:bCs w:val="0"/>
          <w:caps/>
          <w:color w:val="auto"/>
        </w:rPr>
      </w:pPr>
      <w:r w:rsidRPr="00527791">
        <w:rPr>
          <w:rFonts w:ascii="Bookman Old Style" w:hAnsi="Bookman Old Style"/>
          <w:b w:val="0"/>
          <w:bCs w:val="0"/>
          <w:caps/>
          <w:color w:val="auto"/>
        </w:rPr>
        <w:lastRenderedPageBreak/>
        <w:t>NOT AN NPA</w:t>
      </w:r>
    </w:p>
    <w:p w:rsidR="00527791" w:rsidRPr="00527791" w:rsidRDefault="00527791" w:rsidP="00527791">
      <w:pPr>
        <w:pStyle w:val="body"/>
        <w:shd w:val="clear" w:color="auto" w:fill="FFFFFF"/>
        <w:spacing w:before="0" w:beforeAutospacing="0" w:after="300" w:afterAutospacing="0" w:line="240" w:lineRule="atLeast"/>
        <w:jc w:val="both"/>
        <w:rPr>
          <w:rFonts w:ascii="Bookman Old Style" w:hAnsi="Bookman Old Style"/>
          <w:sz w:val="22"/>
          <w:szCs w:val="22"/>
        </w:rPr>
      </w:pPr>
      <w:r w:rsidRPr="00527791">
        <w:rPr>
          <w:rFonts w:ascii="Bookman Old Style" w:hAnsi="Bookman Old Style"/>
          <w:sz w:val="22"/>
          <w:szCs w:val="22"/>
        </w:rPr>
        <w:t>First the firm raised the bogey of the amount not having been declared an NPA (non-performing asset) when the amount decreed by the apex court was not paid.</w:t>
      </w:r>
    </w:p>
    <w:p w:rsidR="00527791" w:rsidRPr="00527791" w:rsidRDefault="00527791" w:rsidP="00527791">
      <w:pPr>
        <w:pStyle w:val="body"/>
        <w:shd w:val="clear" w:color="auto" w:fill="FFFFFF"/>
        <w:spacing w:before="0" w:beforeAutospacing="0" w:after="300" w:afterAutospacing="0" w:line="240" w:lineRule="atLeast"/>
        <w:jc w:val="both"/>
        <w:rPr>
          <w:rFonts w:ascii="Bookman Old Style" w:hAnsi="Bookman Old Style"/>
          <w:sz w:val="22"/>
          <w:szCs w:val="22"/>
        </w:rPr>
      </w:pPr>
      <w:r w:rsidRPr="00527791">
        <w:rPr>
          <w:rFonts w:ascii="Bookman Old Style" w:hAnsi="Bookman Old Style"/>
          <w:sz w:val="22"/>
          <w:szCs w:val="22"/>
        </w:rPr>
        <w:t xml:space="preserve">The Kerala High Court, however, was not amused and held that the amount decreed by the apex court indeed was a debt within the meaning of the </w:t>
      </w:r>
      <w:proofErr w:type="spellStart"/>
      <w:r w:rsidRPr="00527791">
        <w:rPr>
          <w:rFonts w:ascii="Bookman Old Style" w:hAnsi="Bookman Old Style"/>
          <w:sz w:val="22"/>
          <w:szCs w:val="22"/>
        </w:rPr>
        <w:t>Securitisation</w:t>
      </w:r>
      <w:proofErr w:type="spellEnd"/>
      <w:r w:rsidRPr="00527791">
        <w:rPr>
          <w:rFonts w:ascii="Bookman Old Style" w:hAnsi="Bookman Old Style"/>
          <w:sz w:val="22"/>
          <w:szCs w:val="22"/>
        </w:rPr>
        <w:t xml:space="preserve"> Act and it was not necessary to declare the amount as NPA after every court proceeding.</w:t>
      </w:r>
    </w:p>
    <w:p w:rsidR="00527791" w:rsidRPr="00527791" w:rsidRDefault="00527791" w:rsidP="00527791">
      <w:pPr>
        <w:pStyle w:val="body"/>
        <w:shd w:val="clear" w:color="auto" w:fill="FFFFFF"/>
        <w:spacing w:before="0" w:beforeAutospacing="0" w:after="300" w:afterAutospacing="0" w:line="240" w:lineRule="atLeast"/>
        <w:jc w:val="both"/>
        <w:rPr>
          <w:rFonts w:ascii="Bookman Old Style" w:hAnsi="Bookman Old Style"/>
          <w:sz w:val="22"/>
          <w:szCs w:val="22"/>
        </w:rPr>
      </w:pPr>
      <w:r w:rsidRPr="00527791">
        <w:rPr>
          <w:rFonts w:ascii="Bookman Old Style" w:hAnsi="Bookman Old Style"/>
          <w:sz w:val="22"/>
          <w:szCs w:val="22"/>
        </w:rPr>
        <w:t xml:space="preserve">That the amount was declared an NPA in 1987 was good enough for the purposes of the </w:t>
      </w:r>
      <w:proofErr w:type="spellStart"/>
      <w:r w:rsidRPr="00527791">
        <w:rPr>
          <w:rFonts w:ascii="Bookman Old Style" w:hAnsi="Bookman Old Style"/>
          <w:sz w:val="22"/>
          <w:szCs w:val="22"/>
        </w:rPr>
        <w:t>Securitisation</w:t>
      </w:r>
      <w:proofErr w:type="spellEnd"/>
      <w:r w:rsidRPr="00527791">
        <w:rPr>
          <w:rFonts w:ascii="Bookman Old Style" w:hAnsi="Bookman Old Style"/>
          <w:sz w:val="22"/>
          <w:szCs w:val="22"/>
        </w:rPr>
        <w:t xml:space="preserve"> Act.</w:t>
      </w:r>
    </w:p>
    <w:p w:rsidR="00527791" w:rsidRPr="00527791" w:rsidRDefault="00527791" w:rsidP="00527791">
      <w:pPr>
        <w:pStyle w:val="body"/>
        <w:shd w:val="clear" w:color="auto" w:fill="FFFFFF"/>
        <w:tabs>
          <w:tab w:val="left" w:pos="1980"/>
        </w:tabs>
        <w:spacing w:before="0" w:beforeAutospacing="0" w:after="300" w:afterAutospacing="0" w:line="240" w:lineRule="atLeast"/>
        <w:jc w:val="both"/>
        <w:rPr>
          <w:rFonts w:ascii="Bookman Old Style" w:hAnsi="Bookman Old Style"/>
          <w:sz w:val="22"/>
          <w:szCs w:val="22"/>
        </w:rPr>
      </w:pPr>
      <w:r w:rsidRPr="00527791">
        <w:rPr>
          <w:rFonts w:ascii="Bookman Old Style" w:hAnsi="Bookman Old Style"/>
          <w:sz w:val="22"/>
          <w:szCs w:val="22"/>
        </w:rPr>
        <w:t>The petitioner wanted to wriggle out of his liability on another ground — that between 1983 when the guarantee was extended and 2012 much had happened and the law of limitation of 12 years had caught up with the bank. The High Court pointed out that the law of limitation did not apply to amounts decreed by courts.</w:t>
      </w:r>
    </w:p>
    <w:p w:rsidR="00584C44" w:rsidRDefault="00584C44" w:rsidP="00527791">
      <w:pPr>
        <w:jc w:val="both"/>
        <w:rPr>
          <w:rFonts w:ascii="Bookman Old Style" w:hAnsi="Bookman Old Style"/>
          <w:b/>
          <w:i/>
          <w:color w:val="auto"/>
        </w:rPr>
      </w:pPr>
    </w:p>
    <w:p w:rsidR="00AE12D1" w:rsidRPr="00584C44" w:rsidRDefault="00584C44" w:rsidP="00527791">
      <w:pPr>
        <w:jc w:val="both"/>
        <w:rPr>
          <w:rFonts w:ascii="Bookman Old Style" w:hAnsi="Bookman Old Style"/>
          <w:b/>
          <w:i/>
          <w:color w:val="auto"/>
        </w:rPr>
      </w:pPr>
      <w:r w:rsidRPr="00584C44">
        <w:rPr>
          <w:rFonts w:ascii="Bookman Old Style" w:hAnsi="Bookman Old Style"/>
          <w:b/>
          <w:i/>
          <w:color w:val="auto"/>
        </w:rPr>
        <w:t xml:space="preserve">Source: The </w:t>
      </w:r>
      <w:proofErr w:type="spellStart"/>
      <w:r w:rsidRPr="00584C44">
        <w:rPr>
          <w:rFonts w:ascii="Bookman Old Style" w:hAnsi="Bookman Old Style"/>
          <w:b/>
          <w:i/>
          <w:color w:val="auto"/>
        </w:rPr>
        <w:t>Hindubusinessline</w:t>
      </w:r>
      <w:proofErr w:type="spellEnd"/>
    </w:p>
    <w:sectPr w:rsidR="00AE12D1" w:rsidRPr="00584C44" w:rsidSect="00AE1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791"/>
    <w:rsid w:val="004F5C2A"/>
    <w:rsid w:val="00527791"/>
    <w:rsid w:val="00584C44"/>
    <w:rsid w:val="00922CC1"/>
    <w:rsid w:val="00AE12D1"/>
    <w:rsid w:val="00E03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Arial"/>
        <w:color w:val="333333"/>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D1"/>
  </w:style>
  <w:style w:type="paragraph" w:styleId="Heading1">
    <w:name w:val="heading 1"/>
    <w:basedOn w:val="Normal"/>
    <w:link w:val="Heading1Char"/>
    <w:uiPriority w:val="9"/>
    <w:qFormat/>
    <w:rsid w:val="0052779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3">
    <w:name w:val="heading 3"/>
    <w:basedOn w:val="Normal"/>
    <w:next w:val="Normal"/>
    <w:link w:val="Heading3Char"/>
    <w:uiPriority w:val="9"/>
    <w:semiHidden/>
    <w:unhideWhenUsed/>
    <w:qFormat/>
    <w:rsid w:val="005277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791"/>
    <w:rPr>
      <w:rFonts w:ascii="Times New Roman" w:eastAsia="Times New Roman" w:hAnsi="Times New Roman" w:cs="Times New Roman"/>
      <w:b/>
      <w:bCs/>
      <w:color w:val="auto"/>
      <w:kern w:val="36"/>
      <w:sz w:val="48"/>
      <w:szCs w:val="48"/>
    </w:rPr>
  </w:style>
  <w:style w:type="character" w:customStyle="1" w:styleId="author">
    <w:name w:val="author"/>
    <w:basedOn w:val="DefaultParagraphFont"/>
    <w:rsid w:val="00527791"/>
  </w:style>
  <w:style w:type="character" w:styleId="Hyperlink">
    <w:name w:val="Hyperlink"/>
    <w:basedOn w:val="DefaultParagraphFont"/>
    <w:uiPriority w:val="99"/>
    <w:semiHidden/>
    <w:unhideWhenUsed/>
    <w:rsid w:val="00527791"/>
    <w:rPr>
      <w:color w:val="0000FF"/>
      <w:u w:val="single"/>
    </w:rPr>
  </w:style>
  <w:style w:type="character" w:customStyle="1" w:styleId="apple-converted-space">
    <w:name w:val="apple-converted-space"/>
    <w:basedOn w:val="DefaultParagraphFont"/>
    <w:rsid w:val="00527791"/>
  </w:style>
  <w:style w:type="paragraph" w:customStyle="1" w:styleId="body">
    <w:name w:val="body"/>
    <w:basedOn w:val="Normal"/>
    <w:rsid w:val="0052779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52779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03839794">
      <w:bodyDiv w:val="1"/>
      <w:marLeft w:val="0"/>
      <w:marRight w:val="0"/>
      <w:marTop w:val="0"/>
      <w:marBottom w:val="0"/>
      <w:divBdr>
        <w:top w:val="none" w:sz="0" w:space="0" w:color="auto"/>
        <w:left w:val="none" w:sz="0" w:space="0" w:color="auto"/>
        <w:bottom w:val="none" w:sz="0" w:space="0" w:color="auto"/>
        <w:right w:val="none" w:sz="0" w:space="0" w:color="auto"/>
      </w:divBdr>
      <w:divsChild>
        <w:div w:id="1345982373">
          <w:marLeft w:val="0"/>
          <w:marRight w:val="0"/>
          <w:marTop w:val="0"/>
          <w:marBottom w:val="210"/>
          <w:divBdr>
            <w:top w:val="none" w:sz="0" w:space="0" w:color="auto"/>
            <w:left w:val="none" w:sz="0" w:space="0" w:color="auto"/>
            <w:bottom w:val="single" w:sz="6" w:space="2" w:color="CCCCCC"/>
            <w:right w:val="none" w:sz="0" w:space="0" w:color="auto"/>
          </w:divBdr>
          <w:divsChild>
            <w:div w:id="1511263275">
              <w:marLeft w:val="0"/>
              <w:marRight w:val="0"/>
              <w:marTop w:val="0"/>
              <w:marBottom w:val="0"/>
              <w:divBdr>
                <w:top w:val="none" w:sz="0" w:space="0" w:color="auto"/>
                <w:left w:val="none" w:sz="0" w:space="0" w:color="auto"/>
                <w:bottom w:val="none" w:sz="0" w:space="0" w:color="auto"/>
                <w:right w:val="none" w:sz="0" w:space="0" w:color="auto"/>
              </w:divBdr>
            </w:div>
          </w:divsChild>
        </w:div>
        <w:div w:id="49888234">
          <w:marLeft w:val="0"/>
          <w:marRight w:val="0"/>
          <w:marTop w:val="0"/>
          <w:marBottom w:val="75"/>
          <w:divBdr>
            <w:top w:val="single" w:sz="6" w:space="0" w:color="CCCCCC"/>
            <w:left w:val="none" w:sz="0" w:space="0" w:color="auto"/>
            <w:bottom w:val="none" w:sz="0" w:space="0" w:color="auto"/>
            <w:right w:val="none" w:sz="0" w:space="0" w:color="auto"/>
          </w:divBdr>
          <w:divsChild>
            <w:div w:id="1988167107">
              <w:marLeft w:val="0"/>
              <w:marRight w:val="0"/>
              <w:marTop w:val="0"/>
              <w:marBottom w:val="0"/>
              <w:divBdr>
                <w:top w:val="none" w:sz="0" w:space="0" w:color="auto"/>
                <w:left w:val="none" w:sz="0" w:space="0" w:color="auto"/>
                <w:bottom w:val="none" w:sz="0" w:space="0" w:color="auto"/>
                <w:right w:val="none" w:sz="0" w:space="0" w:color="auto"/>
              </w:divBdr>
              <w:divsChild>
                <w:div w:id="11746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1378">
      <w:bodyDiv w:val="1"/>
      <w:marLeft w:val="0"/>
      <w:marRight w:val="0"/>
      <w:marTop w:val="0"/>
      <w:marBottom w:val="0"/>
      <w:divBdr>
        <w:top w:val="none" w:sz="0" w:space="0" w:color="auto"/>
        <w:left w:val="none" w:sz="0" w:space="0" w:color="auto"/>
        <w:bottom w:val="none" w:sz="0" w:space="0" w:color="auto"/>
        <w:right w:val="none" w:sz="0" w:space="0" w:color="auto"/>
      </w:divBdr>
      <w:divsChild>
        <w:div w:id="1190023474">
          <w:marLeft w:val="0"/>
          <w:marRight w:val="0"/>
          <w:marTop w:val="0"/>
          <w:marBottom w:val="210"/>
          <w:divBdr>
            <w:top w:val="none" w:sz="0" w:space="0" w:color="auto"/>
            <w:left w:val="none" w:sz="0" w:space="0" w:color="auto"/>
            <w:bottom w:val="single" w:sz="6" w:space="2" w:color="CCCCCC"/>
            <w:right w:val="none" w:sz="0" w:space="0" w:color="auto"/>
          </w:divBdr>
          <w:divsChild>
            <w:div w:id="1259095480">
              <w:marLeft w:val="0"/>
              <w:marRight w:val="0"/>
              <w:marTop w:val="0"/>
              <w:marBottom w:val="0"/>
              <w:divBdr>
                <w:top w:val="none" w:sz="0" w:space="0" w:color="auto"/>
                <w:left w:val="none" w:sz="0" w:space="0" w:color="auto"/>
                <w:bottom w:val="none" w:sz="0" w:space="0" w:color="auto"/>
                <w:right w:val="none" w:sz="0" w:space="0" w:color="auto"/>
              </w:divBdr>
            </w:div>
          </w:divsChild>
        </w:div>
        <w:div w:id="1443648305">
          <w:marLeft w:val="0"/>
          <w:marRight w:val="0"/>
          <w:marTop w:val="0"/>
          <w:marBottom w:val="75"/>
          <w:divBdr>
            <w:top w:val="single" w:sz="6" w:space="0" w:color="CCCCCC"/>
            <w:left w:val="none" w:sz="0" w:space="0" w:color="auto"/>
            <w:bottom w:val="none" w:sz="0" w:space="0" w:color="auto"/>
            <w:right w:val="none" w:sz="0" w:space="0" w:color="auto"/>
          </w:divBdr>
          <w:divsChild>
            <w:div w:id="1254581854">
              <w:marLeft w:val="0"/>
              <w:marRight w:val="0"/>
              <w:marTop w:val="0"/>
              <w:marBottom w:val="0"/>
              <w:divBdr>
                <w:top w:val="none" w:sz="0" w:space="0" w:color="auto"/>
                <w:left w:val="none" w:sz="0" w:space="0" w:color="auto"/>
                <w:bottom w:val="none" w:sz="0" w:space="0" w:color="auto"/>
                <w:right w:val="none" w:sz="0" w:space="0" w:color="auto"/>
              </w:divBdr>
              <w:divsChild>
                <w:div w:id="3649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7280">
      <w:bodyDiv w:val="1"/>
      <w:marLeft w:val="0"/>
      <w:marRight w:val="0"/>
      <w:marTop w:val="0"/>
      <w:marBottom w:val="0"/>
      <w:divBdr>
        <w:top w:val="none" w:sz="0" w:space="0" w:color="auto"/>
        <w:left w:val="none" w:sz="0" w:space="0" w:color="auto"/>
        <w:bottom w:val="none" w:sz="0" w:space="0" w:color="auto"/>
        <w:right w:val="none" w:sz="0" w:space="0" w:color="auto"/>
      </w:divBdr>
      <w:divsChild>
        <w:div w:id="823668690">
          <w:marLeft w:val="0"/>
          <w:marRight w:val="0"/>
          <w:marTop w:val="0"/>
          <w:marBottom w:val="210"/>
          <w:divBdr>
            <w:top w:val="none" w:sz="0" w:space="0" w:color="auto"/>
            <w:left w:val="none" w:sz="0" w:space="0" w:color="auto"/>
            <w:bottom w:val="single" w:sz="6" w:space="2" w:color="CCCCCC"/>
            <w:right w:val="none" w:sz="0" w:space="0" w:color="auto"/>
          </w:divBdr>
          <w:divsChild>
            <w:div w:id="963266543">
              <w:marLeft w:val="0"/>
              <w:marRight w:val="0"/>
              <w:marTop w:val="0"/>
              <w:marBottom w:val="0"/>
              <w:divBdr>
                <w:top w:val="none" w:sz="0" w:space="0" w:color="auto"/>
                <w:left w:val="none" w:sz="0" w:space="0" w:color="auto"/>
                <w:bottom w:val="none" w:sz="0" w:space="0" w:color="auto"/>
                <w:right w:val="none" w:sz="0" w:space="0" w:color="auto"/>
              </w:divBdr>
            </w:div>
          </w:divsChild>
        </w:div>
        <w:div w:id="684601403">
          <w:marLeft w:val="0"/>
          <w:marRight w:val="0"/>
          <w:marTop w:val="0"/>
          <w:marBottom w:val="75"/>
          <w:divBdr>
            <w:top w:val="single" w:sz="6" w:space="0" w:color="CCCCCC"/>
            <w:left w:val="none" w:sz="0" w:space="0" w:color="auto"/>
            <w:bottom w:val="none" w:sz="0" w:space="0" w:color="auto"/>
            <w:right w:val="none" w:sz="0" w:space="0" w:color="auto"/>
          </w:divBdr>
          <w:divsChild>
            <w:div w:id="439104036">
              <w:marLeft w:val="0"/>
              <w:marRight w:val="0"/>
              <w:marTop w:val="0"/>
              <w:marBottom w:val="0"/>
              <w:divBdr>
                <w:top w:val="none" w:sz="0" w:space="0" w:color="auto"/>
                <w:left w:val="none" w:sz="0" w:space="0" w:color="auto"/>
                <w:bottom w:val="none" w:sz="0" w:space="0" w:color="auto"/>
                <w:right w:val="none" w:sz="0" w:space="0" w:color="auto"/>
              </w:divBdr>
              <w:divsChild>
                <w:div w:id="382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Vidya</cp:lastModifiedBy>
  <cp:revision>1</cp:revision>
  <dcterms:created xsi:type="dcterms:W3CDTF">2012-10-29T10:03:00Z</dcterms:created>
  <dcterms:modified xsi:type="dcterms:W3CDTF">2012-10-29T10:16:00Z</dcterms:modified>
</cp:coreProperties>
</file>